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44</w:t>
      </w:r>
    </w:p>
    <w:p>
      <w:r>
        <w:t>Bundesgericht (BGE), 2019-09-24, DE</w:t>
      </w:r>
    </w:p>
    <w:p>
      <w:r>
        <w:rPr>
          <w:b/>
        </w:rPr>
        <w:t xml:space="preserve">Quelle: </w:t>
      </w:r>
      <w:r>
        <w:t>https://mcp.opencaselaw.ch/entscheid/bge_147 II 44</w:t>
      </w:r>
    </w:p>
    <w:p>
      <w:r>
        <w:t>FR: ATF 147 II 44</w:t>
      </w:r>
    </w:p>
    <w:p>
      <w:r>
        <w:t>IT: DTF 147 II 44</w:t>
      </w:r>
    </w:p>
    <w:p>
      <w:pPr>
        <w:pStyle w:val="Heading2"/>
      </w:pPr>
      <w:r>
        <w:t>Regeste</w:t>
      </w:r>
    </w:p>
    <w:p>
      <w:r>
        <w:t>Regeste Art. 90, 98, 106 Abs. 2 BGG; Rechtsnatur des Entscheids über die endgültige Nichtanordnung bzw. Aufhebung einer erstinstanzlich verfügten verkehrsmedizinischen Untersuchung und eines Sicherungsentzugs eines Führerausweises; vorsorgliche Massnahme, Kognition des Bundesgerichts. Der Entscheid über die endgültige Nichtanordnung bzw. Aufhebung einer erstinstanzlich verfügten verkehrsmedizinischen Untersuchung und eines Sicherungsentzugs eines Führerausweises stellt einen Endentscheid (Art. 90 BGG) dar (E. 1.1). Streitgegenstand bildet die umstrittene (Nicht-)Anordnung des vorsorglichen Führerausweisentzugs zur Abklärung der Fahreignung des Beschwerdegegners. Diese stellt eine vorsorgliche Massnahme dar. Die Kognition des Bundesgerichts ist auf die Verletzung verfassungsmässiger Rechte beschränkt (Art. 98 BGG). Wird einzig eine einfache Rechtsverletzung geltend gemacht, kann darauf nicht eingetreten werden (E. 1.2).</w:t>
      </w:r>
    </w:p>
    <w:p>
      <w:pPr>
        <w:pStyle w:val="Heading2"/>
      </w:pPr>
      <w:r>
        <w:t>Erwägungen</w:t>
      </w:r>
    </w:p>
    <w:p>
      <w:r>
        <w:rPr>
          <w:b/>
        </w:rPr>
        <w:t>E. 1.1</w:t>
      </w:r>
    </w:p>
    <w:p>
      <w:r>
        <w:t>Angefochten ist ein kantonal letztinstanzlicher Entscheid über die endgültige Nichtanordnung bzw. Aufhebung einer erstinstanzlich verfügten verkehrsmedizinischen Untersuchung und eines Sicherungsentzugs eines Führerausweises. Beschwerdeführer ist die erstinstanzlich verfügende Behörde. Damit unterscheidet sich der vorliegende Fall vom "Normalfall", bei welchem die Vorinstanz die erstinstanzliche Anordnung der genannten Massnahmen bestätigt und der Führerausweisinhaber dagegen Beschwerde führt. Diesfalls läuft das Verfahren auf Führerausweisentzug weiter. Der definitive Entscheid über einen allfälligen Entzug des Führerausweises wird erst nach der verkehrsmedizinischen Untersuchung gefällt. Solche Entscheide stellen Zwischenentscheide dar. Diese sind nach konstanter Rechtsprechung des Bundesgerichts vom Führerausweisinhaber anfechtbar, da sie für ihn einen nicht wiedergutzumachenden Nachteil im Sinne von Art. 93 Abs. 1 BGE 147 II 44 S. 47 lit. a BGG bewirken ( BGE 122 II 359 E. 1b S. 362; statt vieler: Urteil 1C_262/2019 vom 6. Mai 2020 E. 1.1 mit Hinweisen). Diese Rechtsprechung kann indessen nicht ohne weiteres auf die vorliegende Konstellation angewendet werden. Nicht der Führerausweisinhaber führt Beschwerde, dessen Führerausweis vorsorglich entzogen wurde bzw. der sich einer verkehrsmedizinischen Untersuchung zu unterziehen hat, sondern die erstinstanzlich verfügende Behörde. Sie ist nicht damit einverstanden, dass die Vorinstanz die von ihr verfügten Massnahmen aufgehoben hat. Dazu ist sie gemäss Art. 24 Abs. 2 lit. a SVG i.V.m. Art. 89 Abs. 2 lit. d BGG berechtigt. Indem die Vorinstanz auf die Fahreignungsprüfung inkl. vorsorglichem Ausweisentzug verzichtet und die sofortige Aushändigung des Führerausweises angeordnet hat, hat sie die vorsorglichen Massnahmen im Verfahren über die zugrunde liegenden Anordnungen der Motorfahrzeugkontrolle vom 11. November 2019 endgültig abgeschlossen. Gegenüber dem Beschwerdegegner wird definitiv kein Sicherheitsentzug und keine verkehrsmedizinische Untersuchung angeordnet. Vorsorgliche Massnahmen zur Sicherstellung gefährdeter Interessen bis zum Abschluss des Hauptverfahrens liegen keine mehr vor. Somit handelt es sich beim angefochtenen Entscheid um einen Endentscheid ( Art. 90 BGG ). Die bisherige Rechtsprechung ist demgegenüber auch bei der hier vorliegenden Konstellation von einem Zwischenentscheid ausgegangen (vgl. Urteile 1C_618/2015 vom 7. März 2016 E. 1; 1C_357/2014 vom 18. November 2014 E. 1; 6A.106/2001 vom 26. November 2001 E. 1a). Den erwähnten Entscheiden können jedoch weder sachliche Gründe noch eine grundsätzliche Auseinandersetzung mit der Frage entnommen werden, weshalb von einem Zwischenentscheid auszugehen sei, wenn die erstinstanzlich verfügende Behörde Beschwerde gegen die Nichtanordnung der vorsorglichen Massnahmen führt und das Verfahren damit grundsätzlich beendet ist. An dieser Rechtsprechung kann daher nicht festgehalten werden.</w:t>
      </w:r>
    </w:p>
    <w:p>
      <w:r>
        <w:rPr>
          <w:b/>
        </w:rPr>
        <w:t>E. 1.2</w:t>
      </w:r>
    </w:p>
    <w:p>
      <w:r>
        <w:t>Streitgegenstand vor Bundesgericht bildet die umstrittene (Nicht-)Anordnung des vorsorglichen Führerausweisentzugs zur Abklärung der Fahreignung des Beschwerdegegners. Diese stellt gemäss ständiger bundesgerichtlicher Rechtsprechung eine vorsorgliche Massnahme dar ( BGE 125 II 396 E. 3 S. 401; statt vieler: Urteil 1C_541/2019 vom 10. März 2020 E. 3 mit Hinweisen). Diesfalls kann vor Bundesgericht gemäss Art. 98 BGG mit der Marginalie "Beschränkte Beschwerdegründe" nur die Verletzung BGE 147 II 44 S. 48 verfassungsmässiger Rechte gerügt werden. Nach Art. 106 Abs. 2 BGG prüft das Bundesgericht die Verletzung von Grundrechten nur insofern, als eine solche Rüge in der Beschwerde vorgebracht und begründet worden ist ( BGE 143 II 283 E. 1.2.2 S. 286 mit Hinweisen). Der Beschwerdeführer wirft der Vorinstanz jedoch einzig eine Verletzung von Art. 15d Abs. 1 lit. b SVG und von Art. 30 der Verordnung vom 27. Oktober 1976 über die Zulassung von Personen und Fahrzeugen zum Strassenverkehr (Verkehrszulassungsverordnung, VZV; SR 741.51) vor. Diese Rügen betreffen die Anwendung von einfachem Gesetzes- bzw. Verordnungsrecht und nicht eine Verletzung verfassungsmässiger Rechte. Eine Verletzung des Willkürverbots gemäss Art. 9 BV bzw. eine willkürliche Anwendung von Bundesrecht macht der Beschwerdeführer hingegen nicht geltend. Stattdessen hält er selbst - zumindest im Zusammenhang mit der angeblichen Verletzung von Art. 30 VZV - ausdrücklich fest, es liege eine einfache Rechtsverletzung vor. Eine Rüge der Verletzung verfassungsmässiger Rechte ist demnach weder dargetan noch ersichtlich,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